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60" w:rsidRDefault="00D62260" w:rsidP="008A2A81">
      <w:pPr>
        <w:spacing w:after="0" w:line="276" w:lineRule="auto"/>
        <w:rPr>
          <w:rFonts w:ascii="Arial" w:hAnsi="Arial" w:cs="Arial"/>
          <w:sz w:val="20"/>
          <w:szCs w:val="20"/>
        </w:rPr>
      </w:pPr>
      <w:r w:rsidRPr="008A2A81">
        <w:rPr>
          <w:rFonts w:ascii="Arial" w:hAnsi="Arial" w:cs="Arial"/>
          <w:sz w:val="20"/>
          <w:szCs w:val="20"/>
        </w:rPr>
        <w:t>Inwieweit es sinnvoll ist, alle stationären Patienten</w:t>
      </w:r>
      <w:r w:rsidR="00E02005">
        <w:rPr>
          <w:rFonts w:ascii="Arial" w:hAnsi="Arial" w:cs="Arial"/>
          <w:sz w:val="20"/>
          <w:szCs w:val="20"/>
        </w:rPr>
        <w:t>*innen</w:t>
      </w:r>
      <w:r w:rsidRPr="008A2A81">
        <w:rPr>
          <w:rFonts w:ascii="Arial" w:hAnsi="Arial" w:cs="Arial"/>
          <w:sz w:val="20"/>
          <w:szCs w:val="20"/>
        </w:rPr>
        <w:t xml:space="preserve"> vor einer elektiven Aufnahme ambulant oder prästationär bzw. alle Notfallpatienten unabhängig von ihrer Symptomatik mit einem Rachenabstrich zu untersuchen, ist aktuell nicht abschließend geklärt. </w:t>
      </w:r>
      <w:r w:rsidR="0046283D" w:rsidRPr="008A2A81">
        <w:rPr>
          <w:rFonts w:ascii="Arial" w:hAnsi="Arial" w:cs="Arial"/>
          <w:sz w:val="20"/>
          <w:szCs w:val="20"/>
        </w:rPr>
        <w:t xml:space="preserve">Auch der Stellenwert der Bestimmung von </w:t>
      </w:r>
      <w:proofErr w:type="spellStart"/>
      <w:r w:rsidR="0046283D" w:rsidRPr="008A2A81">
        <w:rPr>
          <w:rFonts w:ascii="Arial" w:hAnsi="Arial" w:cs="Arial"/>
          <w:sz w:val="20"/>
          <w:szCs w:val="20"/>
        </w:rPr>
        <w:t>IgG</w:t>
      </w:r>
      <w:proofErr w:type="spellEnd"/>
      <w:r w:rsidR="0046283D" w:rsidRPr="008A2A81">
        <w:rPr>
          <w:rFonts w:ascii="Arial" w:hAnsi="Arial" w:cs="Arial"/>
          <w:sz w:val="20"/>
          <w:szCs w:val="20"/>
        </w:rPr>
        <w:t xml:space="preserve">-Antikörpern kann bis dato noch nicht sicher beurteilt werden. </w:t>
      </w:r>
      <w:r w:rsidRPr="008A2A81">
        <w:rPr>
          <w:rFonts w:ascii="Arial" w:hAnsi="Arial" w:cs="Arial"/>
          <w:sz w:val="20"/>
          <w:szCs w:val="20"/>
        </w:rPr>
        <w:t xml:space="preserve">Empfehlungen des RKI zu diesem Gesichtspunkt liegen aktuell nicht vor. Es hängt nicht zuletzt vom Erkrankungsrisiko der Region (Prävalenz), aber auch von der Verfügbarkeit der Testverfahren und der lokalen Prozesse ab. </w:t>
      </w:r>
    </w:p>
    <w:p w:rsidR="000E32BF" w:rsidRPr="008A2A81" w:rsidRDefault="000E32BF" w:rsidP="008A2A81">
      <w:pPr>
        <w:spacing w:after="0" w:line="276" w:lineRule="auto"/>
        <w:rPr>
          <w:rFonts w:ascii="Arial" w:hAnsi="Arial" w:cs="Arial"/>
          <w:sz w:val="20"/>
          <w:szCs w:val="20"/>
        </w:rPr>
      </w:pPr>
    </w:p>
    <w:p w:rsidR="000B0276" w:rsidRDefault="000B0276" w:rsidP="008A2A81">
      <w:pPr>
        <w:spacing w:after="0" w:line="276" w:lineRule="auto"/>
        <w:rPr>
          <w:rFonts w:ascii="Arial" w:hAnsi="Arial" w:cs="Arial"/>
          <w:sz w:val="20"/>
          <w:szCs w:val="20"/>
        </w:rPr>
      </w:pPr>
      <w:r w:rsidRPr="008A2A81">
        <w:rPr>
          <w:rFonts w:ascii="Arial" w:hAnsi="Arial" w:cs="Arial"/>
          <w:sz w:val="20"/>
          <w:szCs w:val="20"/>
        </w:rPr>
        <w:t>Die Durchführung eines Screenings sollte für Patient*innen in folgenden Settings erwogen werden:</w:t>
      </w:r>
    </w:p>
    <w:p w:rsidR="000E32BF" w:rsidRPr="008A2A81" w:rsidRDefault="000E32BF" w:rsidP="008A2A81">
      <w:pPr>
        <w:spacing w:after="0" w:line="276" w:lineRule="auto"/>
        <w:rPr>
          <w:rFonts w:ascii="Arial" w:hAnsi="Arial" w:cs="Arial"/>
          <w:sz w:val="20"/>
          <w:szCs w:val="20"/>
        </w:rPr>
      </w:pPr>
    </w:p>
    <w:p w:rsidR="000B0276" w:rsidRPr="008A2A81" w:rsidRDefault="000B0276" w:rsidP="008A2A81">
      <w:pPr>
        <w:pStyle w:val="Listenabsatz"/>
        <w:numPr>
          <w:ilvl w:val="0"/>
          <w:numId w:val="4"/>
        </w:numPr>
        <w:spacing w:after="0" w:line="276" w:lineRule="auto"/>
        <w:rPr>
          <w:rFonts w:ascii="Arial" w:hAnsi="Arial" w:cs="Arial"/>
          <w:sz w:val="20"/>
          <w:szCs w:val="20"/>
        </w:rPr>
      </w:pPr>
      <w:proofErr w:type="spellStart"/>
      <w:r w:rsidRPr="008A2A81">
        <w:rPr>
          <w:rFonts w:ascii="Arial" w:hAnsi="Arial" w:cs="Arial"/>
          <w:sz w:val="20"/>
          <w:szCs w:val="20"/>
        </w:rPr>
        <w:t>Hämato</w:t>
      </w:r>
      <w:proofErr w:type="spellEnd"/>
      <w:r w:rsidRPr="008A2A81">
        <w:rPr>
          <w:rFonts w:ascii="Arial" w:hAnsi="Arial" w:cs="Arial"/>
          <w:sz w:val="20"/>
          <w:szCs w:val="20"/>
        </w:rPr>
        <w:t xml:space="preserve">-Onkologie, insbesondere vor Chemo- bzw. </w:t>
      </w:r>
      <w:proofErr w:type="spellStart"/>
      <w:r w:rsidRPr="008A2A81">
        <w:rPr>
          <w:rFonts w:ascii="Arial" w:hAnsi="Arial" w:cs="Arial"/>
          <w:sz w:val="20"/>
          <w:szCs w:val="20"/>
        </w:rPr>
        <w:t>immunmodulatorischen</w:t>
      </w:r>
      <w:proofErr w:type="spellEnd"/>
      <w:r w:rsidRPr="008A2A81">
        <w:rPr>
          <w:rFonts w:ascii="Arial" w:hAnsi="Arial" w:cs="Arial"/>
          <w:sz w:val="20"/>
          <w:szCs w:val="20"/>
        </w:rPr>
        <w:t xml:space="preserve"> Therapien</w:t>
      </w:r>
    </w:p>
    <w:p w:rsidR="000B0276" w:rsidRPr="008A2A81" w:rsidRDefault="000B0276" w:rsidP="008A2A81">
      <w:pPr>
        <w:pStyle w:val="Listenabsatz"/>
        <w:numPr>
          <w:ilvl w:val="0"/>
          <w:numId w:val="4"/>
        </w:numPr>
        <w:spacing w:after="0" w:line="276" w:lineRule="auto"/>
        <w:rPr>
          <w:rFonts w:ascii="Arial" w:hAnsi="Arial" w:cs="Arial"/>
          <w:sz w:val="20"/>
          <w:szCs w:val="20"/>
        </w:rPr>
      </w:pPr>
      <w:r w:rsidRPr="008A2A81">
        <w:rPr>
          <w:rFonts w:ascii="Arial" w:hAnsi="Arial" w:cs="Arial"/>
          <w:sz w:val="20"/>
          <w:szCs w:val="20"/>
        </w:rPr>
        <w:t>krankheitsbedingt oder medikamentös bedingt Immunsupprimierte</w:t>
      </w:r>
    </w:p>
    <w:p w:rsidR="000B0276" w:rsidRPr="008A2A81" w:rsidRDefault="000B0276" w:rsidP="008A2A81">
      <w:pPr>
        <w:pStyle w:val="Listenabsatz"/>
        <w:numPr>
          <w:ilvl w:val="0"/>
          <w:numId w:val="4"/>
        </w:numPr>
        <w:spacing w:after="0" w:line="276" w:lineRule="auto"/>
        <w:rPr>
          <w:rFonts w:ascii="Arial" w:hAnsi="Arial" w:cs="Arial"/>
          <w:sz w:val="20"/>
          <w:szCs w:val="20"/>
        </w:rPr>
      </w:pPr>
      <w:r w:rsidRPr="008A2A81">
        <w:rPr>
          <w:rFonts w:ascii="Arial" w:hAnsi="Arial" w:cs="Arial"/>
          <w:sz w:val="20"/>
          <w:szCs w:val="20"/>
        </w:rPr>
        <w:t>Dialysepatienten</w:t>
      </w:r>
    </w:p>
    <w:p w:rsidR="000B0276" w:rsidRPr="008A2A81" w:rsidRDefault="000B0276" w:rsidP="008A2A81">
      <w:pPr>
        <w:pStyle w:val="Listenabsatz"/>
        <w:numPr>
          <w:ilvl w:val="0"/>
          <w:numId w:val="4"/>
        </w:numPr>
        <w:spacing w:after="0" w:line="276" w:lineRule="auto"/>
        <w:rPr>
          <w:rFonts w:ascii="Arial" w:hAnsi="Arial" w:cs="Arial"/>
          <w:sz w:val="20"/>
          <w:szCs w:val="20"/>
        </w:rPr>
      </w:pPr>
      <w:r w:rsidRPr="008A2A81">
        <w:rPr>
          <w:rFonts w:ascii="Arial" w:hAnsi="Arial" w:cs="Arial"/>
          <w:sz w:val="20"/>
          <w:szCs w:val="20"/>
        </w:rPr>
        <w:t>alle ITS-Patienten</w:t>
      </w:r>
      <w:r w:rsidR="00E02005">
        <w:rPr>
          <w:rFonts w:ascii="Arial" w:hAnsi="Arial" w:cs="Arial"/>
          <w:sz w:val="20"/>
          <w:szCs w:val="20"/>
        </w:rPr>
        <w:t>*innen</w:t>
      </w:r>
      <w:bookmarkStart w:id="0" w:name="_GoBack"/>
      <w:bookmarkEnd w:id="0"/>
    </w:p>
    <w:p w:rsidR="000B0276" w:rsidRPr="008A2A81" w:rsidRDefault="000B0276" w:rsidP="008A2A81">
      <w:pPr>
        <w:pStyle w:val="Listenabsatz"/>
        <w:numPr>
          <w:ilvl w:val="0"/>
          <w:numId w:val="4"/>
        </w:numPr>
        <w:spacing w:after="0" w:line="276" w:lineRule="auto"/>
        <w:rPr>
          <w:rFonts w:ascii="Arial" w:hAnsi="Arial" w:cs="Arial"/>
          <w:sz w:val="20"/>
          <w:szCs w:val="20"/>
        </w:rPr>
      </w:pPr>
      <w:r w:rsidRPr="008A2A81">
        <w:rPr>
          <w:rFonts w:ascii="Arial" w:hAnsi="Arial" w:cs="Arial"/>
          <w:sz w:val="20"/>
          <w:szCs w:val="20"/>
        </w:rPr>
        <w:t>vor elektiven Operationen</w:t>
      </w:r>
    </w:p>
    <w:p w:rsidR="000B0276" w:rsidRDefault="000B0276" w:rsidP="008A2A81">
      <w:pPr>
        <w:pStyle w:val="Listenabsatz"/>
        <w:numPr>
          <w:ilvl w:val="0"/>
          <w:numId w:val="4"/>
        </w:numPr>
        <w:spacing w:after="0" w:line="276" w:lineRule="auto"/>
        <w:rPr>
          <w:rFonts w:ascii="Arial" w:hAnsi="Arial" w:cs="Arial"/>
          <w:sz w:val="20"/>
          <w:szCs w:val="20"/>
        </w:rPr>
      </w:pPr>
      <w:r w:rsidRPr="008A2A81">
        <w:rPr>
          <w:rFonts w:ascii="Arial" w:hAnsi="Arial" w:cs="Arial"/>
          <w:sz w:val="20"/>
          <w:szCs w:val="20"/>
        </w:rPr>
        <w:t>gerontopsychiatrische Patient*innen</w:t>
      </w:r>
    </w:p>
    <w:p w:rsidR="000E32BF" w:rsidRPr="008A2A81" w:rsidRDefault="000E32BF" w:rsidP="000E32BF">
      <w:pPr>
        <w:pStyle w:val="Listenabsatz"/>
        <w:spacing w:after="0" w:line="276" w:lineRule="auto"/>
        <w:ind w:left="1065"/>
        <w:rPr>
          <w:rFonts w:ascii="Arial" w:hAnsi="Arial" w:cs="Arial"/>
          <w:sz w:val="20"/>
          <w:szCs w:val="20"/>
        </w:rPr>
      </w:pPr>
    </w:p>
    <w:p w:rsidR="00AF70E7" w:rsidRDefault="00B10F7A" w:rsidP="008A2A81">
      <w:pPr>
        <w:spacing w:after="0" w:line="276" w:lineRule="auto"/>
        <w:rPr>
          <w:rFonts w:ascii="Arial" w:hAnsi="Arial" w:cs="Arial"/>
          <w:sz w:val="20"/>
          <w:szCs w:val="20"/>
        </w:rPr>
      </w:pPr>
      <w:r w:rsidRPr="008A2A81">
        <w:rPr>
          <w:rFonts w:ascii="Arial" w:hAnsi="Arial" w:cs="Arial"/>
          <w:sz w:val="20"/>
          <w:szCs w:val="20"/>
        </w:rPr>
        <w:t xml:space="preserve">Der optionale Rachenabstrich wird so terminiert, dass das Ergebnis vor der stationären Aufnahme vorliegt und gleichzeitig der </w:t>
      </w:r>
      <w:proofErr w:type="spellStart"/>
      <w:r w:rsidRPr="008A2A81">
        <w:rPr>
          <w:rFonts w:ascii="Arial" w:hAnsi="Arial" w:cs="Arial"/>
          <w:sz w:val="20"/>
          <w:szCs w:val="20"/>
        </w:rPr>
        <w:t>Abstrichtermin</w:t>
      </w:r>
      <w:proofErr w:type="spellEnd"/>
      <w:r w:rsidRPr="008A2A81">
        <w:rPr>
          <w:rFonts w:ascii="Arial" w:hAnsi="Arial" w:cs="Arial"/>
          <w:sz w:val="20"/>
          <w:szCs w:val="20"/>
        </w:rPr>
        <w:t xml:space="preserve"> möglichst nahe am Aufnahmetermin liegt, frühestens vier, spätestens zwei Tage vor Aufnahme.</w:t>
      </w:r>
    </w:p>
    <w:p w:rsidR="00B10F7A" w:rsidRPr="00AF70E7" w:rsidRDefault="00B10F7A" w:rsidP="00AF70E7">
      <w:pPr>
        <w:rPr>
          <w:rFonts w:ascii="Arial" w:hAnsi="Arial" w:cs="Arial"/>
          <w:sz w:val="20"/>
          <w:szCs w:val="20"/>
        </w:rPr>
      </w:pPr>
    </w:p>
    <w:sectPr w:rsidR="00B10F7A" w:rsidRPr="00AF70E7" w:rsidSect="008A2A81">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E7" w:rsidRDefault="00AF70E7" w:rsidP="00AF70E7">
      <w:pPr>
        <w:spacing w:after="0" w:line="240" w:lineRule="auto"/>
      </w:pPr>
      <w:r>
        <w:separator/>
      </w:r>
    </w:p>
  </w:endnote>
  <w:endnote w:type="continuationSeparator" w:id="0">
    <w:p w:rsidR="00AF70E7" w:rsidRDefault="00AF70E7" w:rsidP="00AF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22"/>
      <w:gridCol w:w="3231"/>
      <w:gridCol w:w="2581"/>
    </w:tblGrid>
    <w:tr w:rsidR="00AF70E7" w:rsidTr="00C3532C">
      <w:trPr>
        <w:trHeight w:val="20"/>
      </w:trPr>
      <w:tc>
        <w:tcPr>
          <w:tcW w:w="1797" w:type="dxa"/>
          <w:shd w:val="clear" w:color="auto" w:fill="auto"/>
        </w:tcPr>
        <w:p w:rsidR="00AF70E7" w:rsidRPr="003C7971" w:rsidRDefault="00AF70E7" w:rsidP="00AF70E7">
          <w:pPr>
            <w:rPr>
              <w:rFonts w:ascii="Arial" w:hAnsi="Arial"/>
              <w:sz w:val="12"/>
            </w:rPr>
          </w:pPr>
          <w:r w:rsidRPr="003C7971">
            <w:rPr>
              <w:rFonts w:ascii="Arial" w:hAnsi="Arial"/>
              <w:sz w:val="12"/>
            </w:rPr>
            <w:t>Erstellt:</w:t>
          </w:r>
        </w:p>
      </w:tc>
      <w:tc>
        <w:tcPr>
          <w:tcW w:w="1322" w:type="dxa"/>
          <w:shd w:val="clear" w:color="auto" w:fill="auto"/>
        </w:tcPr>
        <w:p w:rsidR="00AF70E7" w:rsidRPr="003C7971" w:rsidRDefault="00AF70E7" w:rsidP="00AF70E7">
          <w:pPr>
            <w:rPr>
              <w:rFonts w:ascii="Arial" w:hAnsi="Arial"/>
              <w:sz w:val="12"/>
            </w:rPr>
          </w:pPr>
          <w:r w:rsidRPr="003C7971">
            <w:rPr>
              <w:rFonts w:ascii="Arial" w:hAnsi="Arial"/>
              <w:sz w:val="12"/>
            </w:rPr>
            <w:t>Detlef Handke</w:t>
          </w:r>
        </w:p>
      </w:tc>
      <w:tc>
        <w:tcPr>
          <w:tcW w:w="3231" w:type="dxa"/>
          <w:shd w:val="clear" w:color="auto" w:fill="auto"/>
        </w:tcPr>
        <w:p w:rsidR="00AF70E7" w:rsidRPr="003C7971" w:rsidRDefault="00AF70E7" w:rsidP="00AF70E7">
          <w:pPr>
            <w:rPr>
              <w:rFonts w:ascii="Arial" w:hAnsi="Arial"/>
              <w:sz w:val="12"/>
            </w:rPr>
          </w:pPr>
          <w:r w:rsidRPr="003C7971">
            <w:rPr>
              <w:rFonts w:ascii="Arial" w:hAnsi="Arial"/>
              <w:sz w:val="12"/>
            </w:rPr>
            <w:t>Leiter Qualitäts- und Risikomanagement</w:t>
          </w:r>
        </w:p>
      </w:tc>
      <w:tc>
        <w:tcPr>
          <w:tcW w:w="2581" w:type="dxa"/>
          <w:shd w:val="clear" w:color="auto" w:fill="auto"/>
        </w:tcPr>
        <w:p w:rsidR="00AF70E7" w:rsidRPr="003C7971" w:rsidRDefault="00AF70E7" w:rsidP="00AF70E7">
          <w:pPr>
            <w:jc w:val="right"/>
            <w:rPr>
              <w:rFonts w:ascii="Arial" w:hAnsi="Arial"/>
              <w:sz w:val="12"/>
            </w:rPr>
          </w:pPr>
          <w:r>
            <w:rPr>
              <w:rFonts w:ascii="Arial" w:hAnsi="Arial"/>
              <w:sz w:val="12"/>
            </w:rPr>
            <w:t>Version: 1.0</w:t>
          </w:r>
        </w:p>
      </w:tc>
    </w:tr>
    <w:tr w:rsidR="00AF70E7" w:rsidTr="00C3532C">
      <w:trPr>
        <w:trHeight w:val="20"/>
      </w:trPr>
      <w:tc>
        <w:tcPr>
          <w:tcW w:w="1797" w:type="dxa"/>
          <w:shd w:val="clear" w:color="auto" w:fill="auto"/>
          <w:vAlign w:val="center"/>
        </w:tcPr>
        <w:p w:rsidR="00AF70E7" w:rsidRPr="003C7971" w:rsidRDefault="00AF70E7" w:rsidP="00AF70E7">
          <w:pPr>
            <w:rPr>
              <w:rFonts w:ascii="Arial" w:hAnsi="Arial"/>
              <w:sz w:val="12"/>
            </w:rPr>
          </w:pPr>
          <w:r w:rsidRPr="003C7971">
            <w:rPr>
              <w:rFonts w:ascii="Arial" w:hAnsi="Arial"/>
              <w:sz w:val="12"/>
            </w:rPr>
            <w:t>Geprüft:</w:t>
          </w:r>
        </w:p>
      </w:tc>
      <w:tc>
        <w:tcPr>
          <w:tcW w:w="1322" w:type="dxa"/>
          <w:shd w:val="clear" w:color="auto" w:fill="auto"/>
          <w:vAlign w:val="center"/>
        </w:tcPr>
        <w:p w:rsidR="00AF70E7" w:rsidRPr="003C7971" w:rsidRDefault="00AF70E7" w:rsidP="00AF70E7">
          <w:pPr>
            <w:rPr>
              <w:rFonts w:ascii="Arial" w:hAnsi="Arial"/>
              <w:sz w:val="12"/>
            </w:rPr>
          </w:pPr>
          <w:r w:rsidRPr="003C7971">
            <w:rPr>
              <w:rFonts w:ascii="Arial" w:hAnsi="Arial"/>
              <w:sz w:val="12"/>
            </w:rPr>
            <w:t>Dr. Michael Glas</w:t>
          </w:r>
        </w:p>
      </w:tc>
      <w:tc>
        <w:tcPr>
          <w:tcW w:w="3231" w:type="dxa"/>
          <w:shd w:val="clear" w:color="auto" w:fill="auto"/>
          <w:vAlign w:val="center"/>
        </w:tcPr>
        <w:p w:rsidR="00AF70E7" w:rsidRPr="00D071E2" w:rsidRDefault="00AF70E7" w:rsidP="00AF70E7">
          <w:pPr>
            <w:rPr>
              <w:rFonts w:ascii="Arial" w:hAnsi="Arial"/>
              <w:sz w:val="12"/>
              <w:szCs w:val="12"/>
            </w:rPr>
          </w:pPr>
          <w:r w:rsidRPr="00D071E2">
            <w:rPr>
              <w:rFonts w:ascii="Arial" w:hAnsi="Arial"/>
              <w:sz w:val="12"/>
              <w:szCs w:val="12"/>
            </w:rPr>
            <w:t xml:space="preserve">Leiter </w:t>
          </w:r>
          <w:proofErr w:type="spellStart"/>
          <w:r w:rsidRPr="00D071E2">
            <w:rPr>
              <w:rFonts w:ascii="Arial" w:hAnsi="Arial"/>
              <w:sz w:val="12"/>
              <w:szCs w:val="12"/>
            </w:rPr>
            <w:t>Infektiologie</w:t>
          </w:r>
          <w:proofErr w:type="spellEnd"/>
          <w:r w:rsidRPr="00D071E2">
            <w:rPr>
              <w:rFonts w:ascii="Arial" w:hAnsi="Arial"/>
              <w:sz w:val="12"/>
              <w:szCs w:val="12"/>
            </w:rPr>
            <w:t xml:space="preserve"> und Hygienemanagement</w:t>
          </w:r>
        </w:p>
      </w:tc>
      <w:tc>
        <w:tcPr>
          <w:tcW w:w="2581" w:type="dxa"/>
          <w:shd w:val="clear" w:color="auto" w:fill="auto"/>
        </w:tcPr>
        <w:p w:rsidR="00AF70E7" w:rsidRPr="003C7971" w:rsidRDefault="00AF70E7" w:rsidP="00AF70E7">
          <w:pPr>
            <w:jc w:val="right"/>
            <w:rPr>
              <w:rFonts w:ascii="Arial" w:hAnsi="Arial"/>
              <w:sz w:val="12"/>
            </w:rPr>
          </w:pPr>
          <w:r>
            <w:rPr>
              <w:rFonts w:ascii="Arial" w:hAnsi="Arial"/>
              <w:sz w:val="12"/>
            </w:rPr>
            <w:t>Evaluationsdatum: 27</w:t>
          </w:r>
          <w:r w:rsidRPr="003C7971">
            <w:rPr>
              <w:rFonts w:ascii="Arial" w:hAnsi="Arial"/>
              <w:sz w:val="12"/>
            </w:rPr>
            <w:t>.</w:t>
          </w:r>
          <w:r>
            <w:rPr>
              <w:rFonts w:ascii="Arial" w:hAnsi="Arial"/>
              <w:sz w:val="12"/>
            </w:rPr>
            <w:t>05</w:t>
          </w:r>
          <w:r w:rsidRPr="003C7971">
            <w:rPr>
              <w:rFonts w:ascii="Arial" w:hAnsi="Arial"/>
              <w:sz w:val="12"/>
            </w:rPr>
            <w:t>.202</w:t>
          </w:r>
          <w:r>
            <w:rPr>
              <w:rFonts w:ascii="Arial" w:hAnsi="Arial"/>
              <w:sz w:val="12"/>
            </w:rPr>
            <w:t>1</w:t>
          </w:r>
        </w:p>
      </w:tc>
    </w:tr>
    <w:tr w:rsidR="00AF70E7" w:rsidTr="00C3532C">
      <w:trPr>
        <w:trHeight w:val="194"/>
      </w:trPr>
      <w:tc>
        <w:tcPr>
          <w:tcW w:w="1797" w:type="dxa"/>
          <w:shd w:val="clear" w:color="auto" w:fill="auto"/>
        </w:tcPr>
        <w:p w:rsidR="00AF70E7" w:rsidRPr="003C7971" w:rsidRDefault="00AF70E7" w:rsidP="00AF70E7">
          <w:pPr>
            <w:rPr>
              <w:rFonts w:ascii="Arial" w:hAnsi="Arial"/>
              <w:sz w:val="12"/>
            </w:rPr>
          </w:pPr>
          <w:r w:rsidRPr="003C7971">
            <w:rPr>
              <w:rFonts w:ascii="Arial" w:hAnsi="Arial"/>
              <w:sz w:val="12"/>
            </w:rPr>
            <w:t>Freigabe:</w:t>
          </w:r>
        </w:p>
      </w:tc>
      <w:tc>
        <w:tcPr>
          <w:tcW w:w="1322" w:type="dxa"/>
          <w:shd w:val="clear" w:color="auto" w:fill="auto"/>
        </w:tcPr>
        <w:p w:rsidR="00AF70E7" w:rsidRPr="003C7971" w:rsidRDefault="00AF70E7" w:rsidP="00AF70E7">
          <w:pPr>
            <w:rPr>
              <w:rFonts w:ascii="Arial" w:hAnsi="Arial"/>
              <w:sz w:val="12"/>
            </w:rPr>
          </w:pPr>
          <w:r>
            <w:rPr>
              <w:rFonts w:ascii="Arial" w:hAnsi="Arial"/>
              <w:sz w:val="12"/>
            </w:rPr>
            <w:t>Dr</w:t>
          </w:r>
          <w:r w:rsidR="00FD7935">
            <w:rPr>
              <w:rFonts w:ascii="Arial" w:hAnsi="Arial"/>
              <w:sz w:val="12"/>
            </w:rPr>
            <w:t>.</w:t>
          </w:r>
          <w:r>
            <w:rPr>
              <w:rFonts w:ascii="Arial" w:hAnsi="Arial"/>
              <w:sz w:val="12"/>
            </w:rPr>
            <w:t xml:space="preserve"> Robert Lange</w:t>
          </w:r>
        </w:p>
      </w:tc>
      <w:tc>
        <w:tcPr>
          <w:tcW w:w="3231" w:type="dxa"/>
          <w:shd w:val="clear" w:color="auto" w:fill="auto"/>
        </w:tcPr>
        <w:p w:rsidR="00AF70E7" w:rsidRPr="00D071E2" w:rsidRDefault="00AF70E7" w:rsidP="00AF70E7">
          <w:pPr>
            <w:rPr>
              <w:rFonts w:ascii="Arial" w:hAnsi="Arial"/>
              <w:sz w:val="12"/>
              <w:szCs w:val="12"/>
            </w:rPr>
          </w:pPr>
          <w:r w:rsidRPr="00D071E2">
            <w:rPr>
              <w:rFonts w:ascii="Arial" w:hAnsi="Arial" w:cs="Arial"/>
              <w:color w:val="000000"/>
              <w:sz w:val="12"/>
              <w:szCs w:val="12"/>
              <w:lang w:eastAsia="de-DE"/>
            </w:rPr>
            <w:t>Direktor Labordiagnostische Leistungen</w:t>
          </w:r>
        </w:p>
      </w:tc>
      <w:tc>
        <w:tcPr>
          <w:tcW w:w="2581" w:type="dxa"/>
          <w:shd w:val="clear" w:color="auto" w:fill="auto"/>
        </w:tcPr>
        <w:p w:rsidR="00AF70E7" w:rsidRPr="003C7971" w:rsidRDefault="00AF70E7" w:rsidP="00AF70E7">
          <w:pPr>
            <w:jc w:val="right"/>
            <w:rPr>
              <w:rFonts w:ascii="Arial" w:hAnsi="Arial"/>
              <w:sz w:val="12"/>
            </w:rPr>
          </w:pPr>
          <w:r w:rsidRPr="003C7971">
            <w:rPr>
              <w:rFonts w:ascii="Arial" w:hAnsi="Arial"/>
              <w:sz w:val="12"/>
            </w:rPr>
            <w:t xml:space="preserve">Seite </w:t>
          </w:r>
          <w:r w:rsidRPr="003C7971">
            <w:rPr>
              <w:rFonts w:ascii="Arial" w:hAnsi="Arial"/>
              <w:b/>
              <w:sz w:val="12"/>
            </w:rPr>
            <w:fldChar w:fldCharType="begin"/>
          </w:r>
          <w:r w:rsidRPr="003C7971">
            <w:rPr>
              <w:rFonts w:ascii="Arial" w:hAnsi="Arial"/>
              <w:b/>
              <w:sz w:val="12"/>
            </w:rPr>
            <w:instrText>PAGE  \* Arabic  \* MERGEFORMAT</w:instrText>
          </w:r>
          <w:r w:rsidRPr="003C7971">
            <w:rPr>
              <w:rFonts w:ascii="Arial" w:hAnsi="Arial"/>
              <w:b/>
              <w:sz w:val="12"/>
            </w:rPr>
            <w:fldChar w:fldCharType="separate"/>
          </w:r>
          <w:r w:rsidR="00E02005">
            <w:rPr>
              <w:rFonts w:ascii="Arial" w:hAnsi="Arial"/>
              <w:b/>
              <w:noProof/>
              <w:sz w:val="12"/>
            </w:rPr>
            <w:t>1</w:t>
          </w:r>
          <w:r w:rsidRPr="003C7971">
            <w:rPr>
              <w:rFonts w:ascii="Arial" w:hAnsi="Arial"/>
              <w:b/>
              <w:sz w:val="12"/>
            </w:rPr>
            <w:fldChar w:fldCharType="end"/>
          </w:r>
          <w:r w:rsidRPr="003C7971">
            <w:rPr>
              <w:rFonts w:ascii="Arial" w:hAnsi="Arial"/>
              <w:sz w:val="12"/>
            </w:rPr>
            <w:t xml:space="preserve"> von </w:t>
          </w:r>
          <w:r w:rsidRPr="003C7971">
            <w:rPr>
              <w:rFonts w:ascii="Arial" w:hAnsi="Arial"/>
              <w:b/>
              <w:sz w:val="12"/>
            </w:rPr>
            <w:fldChar w:fldCharType="begin"/>
          </w:r>
          <w:r w:rsidRPr="003C7971">
            <w:rPr>
              <w:rFonts w:ascii="Arial" w:hAnsi="Arial"/>
              <w:b/>
              <w:sz w:val="12"/>
            </w:rPr>
            <w:instrText>NUMPAGES  \* Arabic  \* MERGEFORMAT</w:instrText>
          </w:r>
          <w:r w:rsidRPr="003C7971">
            <w:rPr>
              <w:rFonts w:ascii="Arial" w:hAnsi="Arial"/>
              <w:b/>
              <w:sz w:val="12"/>
            </w:rPr>
            <w:fldChar w:fldCharType="separate"/>
          </w:r>
          <w:r w:rsidR="00E02005">
            <w:rPr>
              <w:rFonts w:ascii="Arial" w:hAnsi="Arial"/>
              <w:b/>
              <w:noProof/>
              <w:sz w:val="12"/>
            </w:rPr>
            <w:t>1</w:t>
          </w:r>
          <w:r w:rsidRPr="003C7971">
            <w:rPr>
              <w:rFonts w:ascii="Arial" w:hAnsi="Arial"/>
              <w:b/>
              <w:sz w:val="12"/>
            </w:rPr>
            <w:fldChar w:fldCharType="end"/>
          </w:r>
        </w:p>
      </w:tc>
    </w:tr>
  </w:tbl>
  <w:p w:rsidR="00AF70E7" w:rsidRDefault="00AF70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E7" w:rsidRDefault="00AF70E7" w:rsidP="00AF70E7">
      <w:pPr>
        <w:spacing w:after="0" w:line="240" w:lineRule="auto"/>
      </w:pPr>
      <w:r>
        <w:separator/>
      </w:r>
    </w:p>
  </w:footnote>
  <w:footnote w:type="continuationSeparator" w:id="0">
    <w:p w:rsidR="00AF70E7" w:rsidRDefault="00AF70E7" w:rsidP="00AF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gridCol w:w="1134"/>
    </w:tblGrid>
    <w:tr w:rsidR="00AF70E7" w:rsidRPr="00CF28E8" w:rsidTr="00C3532C">
      <w:trPr>
        <w:trHeight w:val="313"/>
      </w:trPr>
      <w:tc>
        <w:tcPr>
          <w:tcW w:w="2127" w:type="dxa"/>
          <w:vMerge w:val="restart"/>
        </w:tcPr>
        <w:p w:rsidR="00AF70E7" w:rsidRPr="00B04F4A" w:rsidRDefault="00AF70E7" w:rsidP="00AF70E7">
          <w:pPr>
            <w:rPr>
              <w:sz w:val="16"/>
              <w:szCs w:val="16"/>
            </w:rPr>
          </w:pPr>
          <w:r w:rsidRPr="00B04F4A">
            <w:rPr>
              <w:noProof/>
              <w:sz w:val="16"/>
              <w:szCs w:val="16"/>
              <w:lang w:eastAsia="de-DE"/>
            </w:rPr>
            <w:drawing>
              <wp:anchor distT="0" distB="0" distL="114300" distR="114300" simplePos="0" relativeHeight="251659264" behindDoc="1" locked="0" layoutInCell="1" allowOverlap="1" wp14:anchorId="50A769ED" wp14:editId="41978CAD">
                <wp:simplePos x="0" y="0"/>
                <wp:positionH relativeFrom="column">
                  <wp:posOffset>-13447</wp:posOffset>
                </wp:positionH>
                <wp:positionV relativeFrom="paragraph">
                  <wp:posOffset>39370</wp:posOffset>
                </wp:positionV>
                <wp:extent cx="1162800" cy="370800"/>
                <wp:effectExtent l="0" t="0" r="0" b="0"/>
                <wp:wrapNone/>
                <wp:docPr id="17" name="Grafik 17" descr="T:\AMEOS_Informationen\Unternehmenskommunikation\AMEOS Corporate Design\Logo\AMEO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AMEOS_Informationen\Unternehmenskommunikation\AMEOS Corporate Design\Logo\AMEOS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8" w:type="dxa"/>
          <w:shd w:val="clear" w:color="auto" w:fill="auto"/>
        </w:tcPr>
        <w:p w:rsidR="00AF70E7" w:rsidRPr="000C3D45" w:rsidRDefault="00AF70E7" w:rsidP="00AF70E7">
          <w:pPr>
            <w:rPr>
              <w:rFonts w:ascii="Arial" w:hAnsi="Arial" w:cs="Arial"/>
              <w:sz w:val="20"/>
              <w:szCs w:val="20"/>
            </w:rPr>
          </w:pPr>
          <w:r w:rsidRPr="000C3D45">
            <w:rPr>
              <w:rFonts w:ascii="Arial" w:hAnsi="Arial" w:cs="Arial"/>
              <w:sz w:val="20"/>
              <w:szCs w:val="20"/>
            </w:rPr>
            <w:t>Screening auf SARS-CoV-2 vor elektiver stationärer Aufnahme</w:t>
          </w:r>
        </w:p>
      </w:tc>
      <w:tc>
        <w:tcPr>
          <w:tcW w:w="1134" w:type="dxa"/>
          <w:vMerge w:val="restart"/>
          <w:shd w:val="clear" w:color="auto" w:fill="auto"/>
          <w:vAlign w:val="center"/>
        </w:tcPr>
        <w:p w:rsidR="00AF70E7" w:rsidRPr="00B04F4A" w:rsidRDefault="00AF70E7" w:rsidP="00AF70E7">
          <w:pPr>
            <w:jc w:val="center"/>
            <w:rPr>
              <w:sz w:val="16"/>
              <w:szCs w:val="16"/>
            </w:rPr>
          </w:pPr>
          <w:r w:rsidRPr="00B04F4A">
            <w:rPr>
              <w:sz w:val="16"/>
              <w:szCs w:val="16"/>
            </w:rPr>
            <w:t>AMEOS Gruppe</w:t>
          </w:r>
        </w:p>
      </w:tc>
    </w:tr>
    <w:tr w:rsidR="00AF70E7" w:rsidRPr="00D271BD" w:rsidTr="00C3532C">
      <w:trPr>
        <w:trHeight w:val="385"/>
      </w:trPr>
      <w:tc>
        <w:tcPr>
          <w:tcW w:w="2127" w:type="dxa"/>
          <w:vMerge/>
        </w:tcPr>
        <w:p w:rsidR="00AF70E7" w:rsidRPr="00B04F4A" w:rsidRDefault="00AF70E7" w:rsidP="00AF70E7">
          <w:pPr>
            <w:rPr>
              <w:sz w:val="16"/>
              <w:szCs w:val="16"/>
            </w:rPr>
          </w:pPr>
        </w:p>
      </w:tc>
      <w:tc>
        <w:tcPr>
          <w:tcW w:w="6378" w:type="dxa"/>
          <w:shd w:val="clear" w:color="auto" w:fill="auto"/>
        </w:tcPr>
        <w:p w:rsidR="00AF70E7" w:rsidRPr="004D49F2" w:rsidRDefault="00AF70E7" w:rsidP="00AF70E7">
          <w:pPr>
            <w:rPr>
              <w:sz w:val="16"/>
              <w:szCs w:val="16"/>
            </w:rPr>
          </w:pPr>
          <w:r>
            <w:rPr>
              <w:sz w:val="16"/>
              <w:szCs w:val="16"/>
            </w:rPr>
            <w:t>AG UP 01. Diagnostik  / Labordiagnostik</w:t>
          </w:r>
        </w:p>
      </w:tc>
      <w:tc>
        <w:tcPr>
          <w:tcW w:w="1134" w:type="dxa"/>
          <w:vMerge/>
          <w:shd w:val="clear" w:color="auto" w:fill="auto"/>
        </w:tcPr>
        <w:p w:rsidR="00AF70E7" w:rsidRPr="004D49F2" w:rsidRDefault="00AF70E7" w:rsidP="00AF70E7">
          <w:pPr>
            <w:rPr>
              <w:sz w:val="16"/>
              <w:szCs w:val="16"/>
            </w:rPr>
          </w:pPr>
        </w:p>
      </w:tc>
    </w:tr>
  </w:tbl>
  <w:p w:rsidR="00AF70E7" w:rsidRDefault="00AF70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D88"/>
    <w:multiLevelType w:val="hybridMultilevel"/>
    <w:tmpl w:val="862CA53A"/>
    <w:lvl w:ilvl="0" w:tplc="D51E863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0C3352"/>
    <w:multiLevelType w:val="hybridMultilevel"/>
    <w:tmpl w:val="33E2A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F087A"/>
    <w:multiLevelType w:val="hybridMultilevel"/>
    <w:tmpl w:val="B958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3F1D77"/>
    <w:multiLevelType w:val="hybridMultilevel"/>
    <w:tmpl w:val="24C622D0"/>
    <w:lvl w:ilvl="0" w:tplc="D51E8630">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60"/>
    <w:rsid w:val="000B0276"/>
    <w:rsid w:val="000E32BF"/>
    <w:rsid w:val="001964EC"/>
    <w:rsid w:val="0046283D"/>
    <w:rsid w:val="00590531"/>
    <w:rsid w:val="00644DE6"/>
    <w:rsid w:val="0078685D"/>
    <w:rsid w:val="008A2A81"/>
    <w:rsid w:val="009A4979"/>
    <w:rsid w:val="00AF70E7"/>
    <w:rsid w:val="00B10F7A"/>
    <w:rsid w:val="00D62260"/>
    <w:rsid w:val="00E02005"/>
    <w:rsid w:val="00FD7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E901-DF8E-43DD-AB30-2CBBB743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276"/>
    <w:pPr>
      <w:ind w:left="720"/>
      <w:contextualSpacing/>
    </w:pPr>
  </w:style>
  <w:style w:type="paragraph" w:styleId="Kopfzeile">
    <w:name w:val="header"/>
    <w:basedOn w:val="Standard"/>
    <w:link w:val="KopfzeileZchn"/>
    <w:uiPriority w:val="99"/>
    <w:unhideWhenUsed/>
    <w:rsid w:val="00AF7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0E7"/>
  </w:style>
  <w:style w:type="paragraph" w:styleId="Fuzeile">
    <w:name w:val="footer"/>
    <w:basedOn w:val="Standard"/>
    <w:link w:val="FuzeileZchn"/>
    <w:uiPriority w:val="99"/>
    <w:unhideWhenUsed/>
    <w:rsid w:val="00AF7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1019</Characters>
  <Application>Microsoft Office Word</Application>
  <DocSecurity>0</DocSecurity>
  <Lines>17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 Michael</dc:creator>
  <cp:keywords/>
  <dc:description/>
  <cp:lastModifiedBy>Voser, Urs</cp:lastModifiedBy>
  <cp:revision>7</cp:revision>
  <cp:lastPrinted>2020-05-27T07:01:00Z</cp:lastPrinted>
  <dcterms:created xsi:type="dcterms:W3CDTF">2020-05-26T11:44:00Z</dcterms:created>
  <dcterms:modified xsi:type="dcterms:W3CDTF">2020-05-27T09:29:00Z</dcterms:modified>
</cp:coreProperties>
</file>